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5D4D" w:rsidRDefault="00325D4D" w:rsidP="00325D4D">
      <w:pPr>
        <w:jc w:val="right"/>
        <w:rPr>
          <w:sz w:val="16"/>
          <w:szCs w:val="16"/>
        </w:rPr>
      </w:pPr>
      <w:r>
        <w:rPr>
          <w:sz w:val="16"/>
          <w:szCs w:val="16"/>
        </w:rPr>
        <w:t>Załącznik Nr 3 do Uchwały Nr …………</w:t>
      </w:r>
    </w:p>
    <w:p w:rsidR="00325D4D" w:rsidRDefault="00325D4D" w:rsidP="00325D4D">
      <w:pPr>
        <w:ind w:left="5664"/>
        <w:jc w:val="center"/>
        <w:rPr>
          <w:sz w:val="16"/>
          <w:szCs w:val="16"/>
        </w:rPr>
      </w:pPr>
      <w:r>
        <w:rPr>
          <w:sz w:val="16"/>
          <w:szCs w:val="16"/>
        </w:rPr>
        <w:t xml:space="preserve">         Rady Gminy Jordanów Śląski</w:t>
      </w:r>
    </w:p>
    <w:p w:rsidR="00325D4D" w:rsidRDefault="00325D4D" w:rsidP="00325D4D">
      <w:pPr>
        <w:ind w:left="6372"/>
        <w:jc w:val="center"/>
        <w:rPr>
          <w:sz w:val="16"/>
          <w:szCs w:val="16"/>
        </w:rPr>
      </w:pPr>
      <w:r>
        <w:rPr>
          <w:sz w:val="16"/>
          <w:szCs w:val="16"/>
        </w:rPr>
        <w:t xml:space="preserve">         z dnia  ……………................................</w:t>
      </w:r>
    </w:p>
    <w:p w:rsidR="00325D4D" w:rsidRDefault="00325D4D" w:rsidP="00325D4D">
      <w:pPr>
        <w:jc w:val="center"/>
        <w:rPr>
          <w:b/>
          <w:sz w:val="32"/>
          <w:szCs w:val="32"/>
        </w:rPr>
      </w:pPr>
    </w:p>
    <w:p w:rsidR="00325D4D" w:rsidRDefault="00325D4D" w:rsidP="00325D4D">
      <w:pPr>
        <w:jc w:val="center"/>
        <w:rPr>
          <w:b/>
          <w:sz w:val="32"/>
          <w:szCs w:val="32"/>
        </w:rPr>
      </w:pPr>
      <w:r>
        <w:rPr>
          <w:b/>
          <w:sz w:val="32"/>
          <w:szCs w:val="32"/>
        </w:rPr>
        <w:t>OBJAŚNIENIA WARTOŚCI PRZYJĘTYCH W WIELOLETNIEJ PROGNOZIE FINANSOWEJ NA LATA 2012 – 2025 GMINY JORDANÓW ŚLĄSKI</w:t>
      </w:r>
    </w:p>
    <w:p w:rsidR="00325D4D" w:rsidRDefault="00325D4D" w:rsidP="00325D4D">
      <w:pPr>
        <w:rPr>
          <w:b/>
        </w:rPr>
      </w:pPr>
    </w:p>
    <w:p w:rsidR="00325D4D" w:rsidRDefault="00325D4D" w:rsidP="00325D4D">
      <w:pPr>
        <w:rPr>
          <w:b/>
        </w:rPr>
      </w:pPr>
    </w:p>
    <w:p w:rsidR="00325D4D" w:rsidRPr="00F834E5" w:rsidRDefault="00325D4D" w:rsidP="00325D4D">
      <w:pPr>
        <w:rPr>
          <w:sz w:val="28"/>
          <w:szCs w:val="28"/>
          <w:u w:val="single"/>
        </w:rPr>
      </w:pPr>
      <w:r w:rsidRPr="00F834E5">
        <w:rPr>
          <w:sz w:val="28"/>
          <w:szCs w:val="28"/>
          <w:u w:val="single"/>
        </w:rPr>
        <w:t>Uwagi ogólne:</w:t>
      </w:r>
    </w:p>
    <w:p w:rsidR="00325D4D" w:rsidRPr="00F834E5" w:rsidRDefault="00325D4D" w:rsidP="00325D4D">
      <w:pPr>
        <w:rPr>
          <w:u w:val="single"/>
        </w:rPr>
      </w:pPr>
    </w:p>
    <w:p w:rsidR="00325D4D" w:rsidRDefault="00325D4D" w:rsidP="00325D4D">
      <w:r>
        <w:t>W wieloletniej prognozie finansowej na lata 2012 - 2025 przyjęto wzrost ogólnych kwot dochodów i wydatków w latach 2012 – 2025 uznając, że planowany wzrost poza okres 5-letni obarczony jest zbyt dużym ryzykiem błędu.</w:t>
      </w:r>
    </w:p>
    <w:p w:rsidR="00325D4D" w:rsidRDefault="00325D4D" w:rsidP="00325D4D"/>
    <w:p w:rsidR="00325D4D" w:rsidRDefault="00325D4D" w:rsidP="00325D4D">
      <w:pPr>
        <w:rPr>
          <w:sz w:val="28"/>
          <w:szCs w:val="28"/>
          <w:u w:val="single"/>
        </w:rPr>
      </w:pPr>
    </w:p>
    <w:p w:rsidR="00325D4D" w:rsidRPr="002206D9" w:rsidRDefault="00325D4D" w:rsidP="00325D4D">
      <w:pPr>
        <w:rPr>
          <w:sz w:val="28"/>
          <w:szCs w:val="28"/>
          <w:u w:val="single"/>
        </w:rPr>
      </w:pPr>
      <w:r w:rsidRPr="002206D9">
        <w:rPr>
          <w:sz w:val="28"/>
          <w:szCs w:val="28"/>
          <w:u w:val="single"/>
        </w:rPr>
        <w:t>Dochody:</w:t>
      </w:r>
    </w:p>
    <w:p w:rsidR="00325D4D" w:rsidRDefault="00325D4D" w:rsidP="00325D4D"/>
    <w:p w:rsidR="00325D4D" w:rsidRDefault="00325D4D" w:rsidP="00325D4D">
      <w:r>
        <w:t>W roku 2012 dochody bieżące zostały zweryfikowane o dochody z tytułu zwrotu podatku VAT z Urzędu Skarbowego (budowa oczyszczalni ścieków i kanalizacji sanitarnej dla aglomeracji Jordanów Śląski – etap I). Założono, że wzrost dochodów bieżących na poziomie 2,5% będzie utrzymywał się przez okres 4 lat tj. w latach 2013 – 2016, jako bazowy przyjęto rok 2012. W zakresie dochodów majątkowych wykazano dochody ze sprzedaży majątku. W roku 2011 przyjęto dochody ze sprzedaży majątku na podstawie już dokonanej  transakcji sprzedaży oraz na podstawie  przewidywanych wpływów w IV kwartale.  W roku 2012 przyjęto wartość szacunkową nieruchomości przeznaczonych do sprzedaży na podstawie danych przyjętych do budżetu gminy.  Od roku 2013 do roku 2015 planuje się, że zainteresowanie działkami pod budownictwo indywidualne będzie utrzymywało się na stałym poziomie. Dodatkowo w 2013 r. planuje się sprzedaż kolejnych zwolnionych lokali mieszkalnych przez najemców.  Od 2016 roku nie planuje się żadnych sprzedaży.</w:t>
      </w:r>
    </w:p>
    <w:p w:rsidR="00325D4D" w:rsidRDefault="00325D4D" w:rsidP="00325D4D"/>
    <w:p w:rsidR="00325D4D" w:rsidRDefault="00325D4D" w:rsidP="00325D4D">
      <w:pPr>
        <w:rPr>
          <w:sz w:val="28"/>
          <w:szCs w:val="28"/>
          <w:u w:val="single"/>
        </w:rPr>
      </w:pPr>
    </w:p>
    <w:p w:rsidR="00325D4D" w:rsidRPr="002206D9" w:rsidRDefault="00325D4D" w:rsidP="00325D4D">
      <w:pPr>
        <w:rPr>
          <w:sz w:val="28"/>
          <w:szCs w:val="28"/>
          <w:u w:val="single"/>
        </w:rPr>
      </w:pPr>
      <w:r w:rsidRPr="002206D9">
        <w:rPr>
          <w:sz w:val="28"/>
          <w:szCs w:val="28"/>
          <w:u w:val="single"/>
        </w:rPr>
        <w:t>Wydatki:</w:t>
      </w:r>
    </w:p>
    <w:p w:rsidR="00325D4D" w:rsidRDefault="00325D4D" w:rsidP="00325D4D"/>
    <w:p w:rsidR="00325D4D" w:rsidRDefault="00325D4D" w:rsidP="00325D4D">
      <w:r w:rsidRPr="00053FBD">
        <w:t>Wydatki bieżące</w:t>
      </w:r>
      <w:r>
        <w:t xml:space="preserve"> (bez odsetek od pożyczki) w roku 2012 w stosunku do 2011 r. wzrosły o 6,1 % (wzrost związany jest z wprowadzeniem nowych zadań między innymi utworzenie grupy melioracyjnej w ramach programu „Bezrobotni dla gospodarki wodnej i ochrony przeciwpowodziowej”, oraz uruchomieniem oczyszczalni ścieków w związku z zakończeniem budowy w 2011 r.  W 2013 roku zakłada się wzrost wydatków bieżących o 1,1%. Spowodowane jest to zmniejszeniem VAT-u (mniejsza sprzedaż majątku) oraz wprowadzono tryb oszczędnościowy realizacji wydatków.  Od roku 2014 do 2017 przewiduje się wzrost o inflację (ustalono na poziomie 2,5%). O</w:t>
      </w:r>
      <w:r w:rsidR="00592D57">
        <w:t xml:space="preserve">d </w:t>
      </w:r>
      <w:r>
        <w:t xml:space="preserve"> roku 2018 wydatki będą utrzymywać się na tym samym poziomie.</w:t>
      </w:r>
    </w:p>
    <w:p w:rsidR="00325D4D" w:rsidRDefault="00325D4D" w:rsidP="00325D4D">
      <w:r>
        <w:t xml:space="preserve">„Wydatki na wynagrodzenia i składki od nich naliczone” w roku 2012 wzrosną o 6,9% w stosunku do roku 2011. Planowany wzrost związany jest ze wzrostem płac: dla nauczycieli o 3,8%  od miesiąca września, utworzeniem grupy melioracyjnej (zatrudnienie bezrobotnych), uruchomienie oczyszczalni ścieków (zatrudnienie w 2012 r. dwóch pracowników – w 2011 zatrudniony był jeden pracownik od miesiąca sierpnia), wzrost wynagrodzeń pracowników (rozdz. 75023) podyktowany jest przewidywaną reorganizacją Urzędu. Założenia te wynikają z </w:t>
      </w:r>
      <w:r>
        <w:lastRenderedPageBreak/>
        <w:t>konieczności dostosowania struktury jednostki do realizacji dodatkowych zadań nałożonych na jednostkę przepisami prawa. Od roku 2013 do 2015 planuje się wzrost wynagrodzeń o 1%. Od roku 2016 wydatki będą utrzymywały się na tym samym poziomie.</w:t>
      </w:r>
    </w:p>
    <w:p w:rsidR="00325D4D" w:rsidRDefault="00325D4D" w:rsidP="00325D4D"/>
    <w:p w:rsidR="00325D4D" w:rsidRDefault="00325D4D" w:rsidP="00325D4D">
      <w:r>
        <w:t>„Wydatki związane z funkcjonowaniem organów JST obejmują tylko wydatki planowane w rozdz. 75011, 75022, 75023. W roku 2012 wzrosły w stosunku do 2011 o 2,6%. Wzrost związany jest ze zwiększeniem środków na wynagrodzenia i składki od nich naliczone, które opisane zostały wyżej także planuje się wzrost wydatków rzeczowych i usług o wskaźnik inflacji. Od roku 2013 do 2015 planuje się wzrost wydatków o wskaźnik inflacji (przyjęto 2,5%), Od roku 2016 wydatki będą utrzymywać się na tym samym poziomie.</w:t>
      </w:r>
    </w:p>
    <w:p w:rsidR="00325D4D" w:rsidRDefault="00325D4D" w:rsidP="00325D4D"/>
    <w:p w:rsidR="00325D4D" w:rsidRDefault="00325D4D" w:rsidP="00325D4D">
      <w:r>
        <w:t xml:space="preserve">Wydatki na spłatę i obsługę długu zaplanowano na podstawie harmonogramu spłat odsetek od </w:t>
      </w:r>
      <w:r w:rsidR="00724B7F">
        <w:t xml:space="preserve">zaciągniętej pożyczki. </w:t>
      </w:r>
    </w:p>
    <w:p w:rsidR="00325D4D" w:rsidRDefault="00325D4D" w:rsidP="00325D4D"/>
    <w:p w:rsidR="00325D4D" w:rsidRDefault="00325D4D" w:rsidP="00325D4D">
      <w:r>
        <w:t>W ramach przedsięwzięć wykazanych w załączniku Nr 2 do uchwały w sprawie wieloletniej prognozy finansowej wykazano kwoty wynikające z zawartych umów lub przewidziane uchwałami rady gminy. W pozostałym zakresie przewiduje się realizację inwestycji rocznych.</w:t>
      </w:r>
    </w:p>
    <w:p w:rsidR="00325D4D" w:rsidRDefault="00325D4D" w:rsidP="00325D4D">
      <w:r>
        <w:t>W załączniku Nr 2 do uchwały w sprawie wieloletniej prognozy finansowej nie wykazano przedsięwzięć obejmujących umowy, których realizacja w roku budżetowym i w latach następnych jest niezbędna do zapewnienia ciągłości działania jednostki i z których wynikające płatności wykraczają poza rok budżetowy dla których nie jesteśmy w stanie określić zaangażowania (np. w zakresie zaopatrzenia w niezbędne media).</w:t>
      </w:r>
    </w:p>
    <w:p w:rsidR="00325D4D" w:rsidRDefault="00325D4D" w:rsidP="00325D4D"/>
    <w:p w:rsidR="00325D4D" w:rsidRPr="003B2E25" w:rsidRDefault="00325D4D" w:rsidP="00325D4D">
      <w:r>
        <w:t>Kwota długu, sposób jego sfinansowania i relacja o której mowa w art.243 ustawy o finansach publicznych.</w:t>
      </w:r>
    </w:p>
    <w:p w:rsidR="00325D4D" w:rsidRDefault="00325D4D" w:rsidP="00325D4D">
      <w:r>
        <w:t>Kwota wykazana jako dług na koniec każdego roku jest wynikiem działania: dług z poprzedniego roku minus spłata długu. Z wyliczeń wynika, że kwota długu ks</w:t>
      </w:r>
      <w:r w:rsidR="00724B7F">
        <w:t>ztałtuje się w 2012r. na poziomie 3.223.128</w:t>
      </w:r>
      <w:r>
        <w:t>,00 zł</w:t>
      </w:r>
    </w:p>
    <w:p w:rsidR="00325D4D" w:rsidRDefault="00325D4D" w:rsidP="00325D4D"/>
    <w:p w:rsidR="00325D4D" w:rsidRDefault="00325D4D" w:rsidP="00325D4D">
      <w:r>
        <w:t>Relacja o której mowa w art. 243 ustawy o finansach publi</w:t>
      </w:r>
      <w:r w:rsidR="00724B7F">
        <w:t>cznych została spełniona.</w:t>
      </w:r>
    </w:p>
    <w:p w:rsidR="00325D4D" w:rsidRDefault="00325D4D" w:rsidP="00325D4D"/>
    <w:p w:rsidR="00325D4D" w:rsidRPr="00FA174F" w:rsidRDefault="00724B7F" w:rsidP="00325D4D">
      <w:r>
        <w:t>W  załączniku</w:t>
      </w:r>
      <w:r w:rsidR="00325D4D">
        <w:t xml:space="preserve"> nr 1 do uchwały w sprawie wieloletniej prognozy finansowej obliczone zostały wskaźniki zgodnie z art. 121 ust 8 ustawy z dnia 27 sierpnia 2009r. – Przepisy wprowadzające ustawę o finansach publicznych ( Dz. U. z 2009</w:t>
      </w:r>
      <w:r>
        <w:t xml:space="preserve"> </w:t>
      </w:r>
      <w:r w:rsidR="00325D4D">
        <w:t>r. Nr 157 poz.1241) określone w art.169-171 ustawy, o której mowa w art. 85 – tj. progi 15% i 60%.</w:t>
      </w:r>
    </w:p>
    <w:p w:rsidR="00FE4BD8" w:rsidRDefault="00FE4BD8"/>
    <w:sectPr w:rsidR="00FE4BD8" w:rsidSect="00053FBD">
      <w:footerReference w:type="even" r:id="rId6"/>
      <w:footerReference w:type="default" r:id="rId7"/>
      <w:pgSz w:w="11906" w:h="16838" w:code="9"/>
      <w:pgMar w:top="1418" w:right="1077"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5C2D" w:rsidRDefault="00805C2D" w:rsidP="006B557F">
      <w:r>
        <w:separator/>
      </w:r>
    </w:p>
  </w:endnote>
  <w:endnote w:type="continuationSeparator" w:id="0">
    <w:p w:rsidR="00805C2D" w:rsidRDefault="00805C2D" w:rsidP="006B557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801" w:rsidRDefault="006B557F" w:rsidP="00093289">
    <w:pPr>
      <w:pStyle w:val="Stopka"/>
      <w:framePr w:wrap="around" w:vAnchor="text" w:hAnchor="margin" w:xAlign="right" w:y="1"/>
      <w:rPr>
        <w:rStyle w:val="Numerstrony"/>
      </w:rPr>
    </w:pPr>
    <w:r>
      <w:rPr>
        <w:rStyle w:val="Numerstrony"/>
      </w:rPr>
      <w:fldChar w:fldCharType="begin"/>
    </w:r>
    <w:r w:rsidR="00724B7F">
      <w:rPr>
        <w:rStyle w:val="Numerstrony"/>
      </w:rPr>
      <w:instrText xml:space="preserve">PAGE  </w:instrText>
    </w:r>
    <w:r>
      <w:rPr>
        <w:rStyle w:val="Numerstrony"/>
      </w:rPr>
      <w:fldChar w:fldCharType="end"/>
    </w:r>
  </w:p>
  <w:p w:rsidR="00F43801" w:rsidRDefault="00805C2D" w:rsidP="00053FBD">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3801" w:rsidRDefault="006B557F" w:rsidP="00093289">
    <w:pPr>
      <w:pStyle w:val="Stopka"/>
      <w:framePr w:wrap="around" w:vAnchor="text" w:hAnchor="margin" w:xAlign="right" w:y="1"/>
      <w:rPr>
        <w:rStyle w:val="Numerstrony"/>
      </w:rPr>
    </w:pPr>
    <w:r>
      <w:rPr>
        <w:rStyle w:val="Numerstrony"/>
      </w:rPr>
      <w:fldChar w:fldCharType="begin"/>
    </w:r>
    <w:r w:rsidR="00724B7F">
      <w:rPr>
        <w:rStyle w:val="Numerstrony"/>
      </w:rPr>
      <w:instrText xml:space="preserve">PAGE  </w:instrText>
    </w:r>
    <w:r>
      <w:rPr>
        <w:rStyle w:val="Numerstrony"/>
      </w:rPr>
      <w:fldChar w:fldCharType="separate"/>
    </w:r>
    <w:r w:rsidR="00592D57">
      <w:rPr>
        <w:rStyle w:val="Numerstrony"/>
        <w:noProof/>
      </w:rPr>
      <w:t>1</w:t>
    </w:r>
    <w:r>
      <w:rPr>
        <w:rStyle w:val="Numerstrony"/>
      </w:rPr>
      <w:fldChar w:fldCharType="end"/>
    </w:r>
  </w:p>
  <w:p w:rsidR="00F43801" w:rsidRDefault="00805C2D" w:rsidP="00053FBD">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5C2D" w:rsidRDefault="00805C2D" w:rsidP="006B557F">
      <w:r>
        <w:separator/>
      </w:r>
    </w:p>
  </w:footnote>
  <w:footnote w:type="continuationSeparator" w:id="0">
    <w:p w:rsidR="00805C2D" w:rsidRDefault="00805C2D" w:rsidP="006B557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325D4D"/>
    <w:rsid w:val="00000C1A"/>
    <w:rsid w:val="00003768"/>
    <w:rsid w:val="00003E5D"/>
    <w:rsid w:val="00005CAD"/>
    <w:rsid w:val="00005EC9"/>
    <w:rsid w:val="000122D0"/>
    <w:rsid w:val="000133B1"/>
    <w:rsid w:val="00013B23"/>
    <w:rsid w:val="000154FF"/>
    <w:rsid w:val="00021AF5"/>
    <w:rsid w:val="00026E52"/>
    <w:rsid w:val="00030A4F"/>
    <w:rsid w:val="00044160"/>
    <w:rsid w:val="00046C2B"/>
    <w:rsid w:val="0005356C"/>
    <w:rsid w:val="000621EB"/>
    <w:rsid w:val="000640A1"/>
    <w:rsid w:val="00064FC4"/>
    <w:rsid w:val="00072631"/>
    <w:rsid w:val="00073167"/>
    <w:rsid w:val="00074AD5"/>
    <w:rsid w:val="00076B3F"/>
    <w:rsid w:val="00082A1F"/>
    <w:rsid w:val="00090D48"/>
    <w:rsid w:val="00092447"/>
    <w:rsid w:val="00092C7C"/>
    <w:rsid w:val="000A49EC"/>
    <w:rsid w:val="000A5381"/>
    <w:rsid w:val="000B11A0"/>
    <w:rsid w:val="000C0083"/>
    <w:rsid w:val="000C41DB"/>
    <w:rsid w:val="000C4976"/>
    <w:rsid w:val="000D0A29"/>
    <w:rsid w:val="000E4205"/>
    <w:rsid w:val="000F02DA"/>
    <w:rsid w:val="000F1567"/>
    <w:rsid w:val="000F4E17"/>
    <w:rsid w:val="000F6178"/>
    <w:rsid w:val="001069AA"/>
    <w:rsid w:val="00132ADA"/>
    <w:rsid w:val="0014009A"/>
    <w:rsid w:val="001408F7"/>
    <w:rsid w:val="001600E8"/>
    <w:rsid w:val="001600F2"/>
    <w:rsid w:val="001606AF"/>
    <w:rsid w:val="00162D35"/>
    <w:rsid w:val="00166FA9"/>
    <w:rsid w:val="001710A4"/>
    <w:rsid w:val="00183585"/>
    <w:rsid w:val="001869D9"/>
    <w:rsid w:val="001A295B"/>
    <w:rsid w:val="001A3CFB"/>
    <w:rsid w:val="001A7300"/>
    <w:rsid w:val="001B1592"/>
    <w:rsid w:val="001C1BFA"/>
    <w:rsid w:val="001C4DF0"/>
    <w:rsid w:val="001C6E9E"/>
    <w:rsid w:val="001D2CF1"/>
    <w:rsid w:val="001E0663"/>
    <w:rsid w:val="001E0FCF"/>
    <w:rsid w:val="0020075C"/>
    <w:rsid w:val="00201A45"/>
    <w:rsid w:val="00201FE8"/>
    <w:rsid w:val="00203D92"/>
    <w:rsid w:val="00210636"/>
    <w:rsid w:val="00213B5A"/>
    <w:rsid w:val="0021767B"/>
    <w:rsid w:val="00220C84"/>
    <w:rsid w:val="00221F04"/>
    <w:rsid w:val="00222E41"/>
    <w:rsid w:val="00223ABE"/>
    <w:rsid w:val="00223F41"/>
    <w:rsid w:val="00230472"/>
    <w:rsid w:val="002360FC"/>
    <w:rsid w:val="00246D64"/>
    <w:rsid w:val="00250654"/>
    <w:rsid w:val="002511BB"/>
    <w:rsid w:val="00252E26"/>
    <w:rsid w:val="002560F3"/>
    <w:rsid w:val="00262CEA"/>
    <w:rsid w:val="0027788A"/>
    <w:rsid w:val="00282DCE"/>
    <w:rsid w:val="002941AE"/>
    <w:rsid w:val="002A6FAB"/>
    <w:rsid w:val="002B024F"/>
    <w:rsid w:val="002C24A4"/>
    <w:rsid w:val="002C446C"/>
    <w:rsid w:val="002D28C3"/>
    <w:rsid w:val="002D4AC0"/>
    <w:rsid w:val="002D6A83"/>
    <w:rsid w:val="002E06A0"/>
    <w:rsid w:val="002E2713"/>
    <w:rsid w:val="002E4123"/>
    <w:rsid w:val="002E4414"/>
    <w:rsid w:val="002F0EBC"/>
    <w:rsid w:val="00302B71"/>
    <w:rsid w:val="00302F8D"/>
    <w:rsid w:val="00310284"/>
    <w:rsid w:val="003114CF"/>
    <w:rsid w:val="003127D2"/>
    <w:rsid w:val="003142B4"/>
    <w:rsid w:val="00314FAF"/>
    <w:rsid w:val="00325D4D"/>
    <w:rsid w:val="00326C59"/>
    <w:rsid w:val="00327FFD"/>
    <w:rsid w:val="0033513F"/>
    <w:rsid w:val="00340E6F"/>
    <w:rsid w:val="003434B1"/>
    <w:rsid w:val="00360454"/>
    <w:rsid w:val="00363A2F"/>
    <w:rsid w:val="003643CE"/>
    <w:rsid w:val="0036586B"/>
    <w:rsid w:val="00366C96"/>
    <w:rsid w:val="0037387B"/>
    <w:rsid w:val="0038142F"/>
    <w:rsid w:val="003814B1"/>
    <w:rsid w:val="00382466"/>
    <w:rsid w:val="00385F13"/>
    <w:rsid w:val="00390039"/>
    <w:rsid w:val="0039103E"/>
    <w:rsid w:val="003B2387"/>
    <w:rsid w:val="003B2850"/>
    <w:rsid w:val="003D0316"/>
    <w:rsid w:val="003D14D9"/>
    <w:rsid w:val="003D632E"/>
    <w:rsid w:val="003E6CDE"/>
    <w:rsid w:val="003F75DC"/>
    <w:rsid w:val="003F7BF1"/>
    <w:rsid w:val="00412E62"/>
    <w:rsid w:val="0041572A"/>
    <w:rsid w:val="00431474"/>
    <w:rsid w:val="0043474F"/>
    <w:rsid w:val="00454D6E"/>
    <w:rsid w:val="0046566C"/>
    <w:rsid w:val="004657E6"/>
    <w:rsid w:val="00467B32"/>
    <w:rsid w:val="00474D2B"/>
    <w:rsid w:val="00475BA2"/>
    <w:rsid w:val="004822FC"/>
    <w:rsid w:val="00494DFA"/>
    <w:rsid w:val="004A37C8"/>
    <w:rsid w:val="004A43D8"/>
    <w:rsid w:val="004B261B"/>
    <w:rsid w:val="004B27C2"/>
    <w:rsid w:val="004C5C4F"/>
    <w:rsid w:val="004D195E"/>
    <w:rsid w:val="004E05BE"/>
    <w:rsid w:val="004E401E"/>
    <w:rsid w:val="004F4883"/>
    <w:rsid w:val="004F4BEE"/>
    <w:rsid w:val="00505247"/>
    <w:rsid w:val="00507887"/>
    <w:rsid w:val="00507E0E"/>
    <w:rsid w:val="005126FB"/>
    <w:rsid w:val="005176E1"/>
    <w:rsid w:val="0051781E"/>
    <w:rsid w:val="00521C38"/>
    <w:rsid w:val="00531977"/>
    <w:rsid w:val="005556C8"/>
    <w:rsid w:val="005565C0"/>
    <w:rsid w:val="0056148D"/>
    <w:rsid w:val="00565A99"/>
    <w:rsid w:val="005677D6"/>
    <w:rsid w:val="005741A8"/>
    <w:rsid w:val="00575344"/>
    <w:rsid w:val="0057568B"/>
    <w:rsid w:val="00577470"/>
    <w:rsid w:val="00591EBF"/>
    <w:rsid w:val="00592D57"/>
    <w:rsid w:val="005945CF"/>
    <w:rsid w:val="005964E6"/>
    <w:rsid w:val="005A0E01"/>
    <w:rsid w:val="005A25BB"/>
    <w:rsid w:val="005A51BE"/>
    <w:rsid w:val="005A62C7"/>
    <w:rsid w:val="005B065B"/>
    <w:rsid w:val="005B2B2E"/>
    <w:rsid w:val="005B3B7B"/>
    <w:rsid w:val="005B5B5D"/>
    <w:rsid w:val="005B5B67"/>
    <w:rsid w:val="005C4E17"/>
    <w:rsid w:val="005C5587"/>
    <w:rsid w:val="005C5D78"/>
    <w:rsid w:val="0060570E"/>
    <w:rsid w:val="006179EE"/>
    <w:rsid w:val="006207E0"/>
    <w:rsid w:val="00625486"/>
    <w:rsid w:val="006268ED"/>
    <w:rsid w:val="00641325"/>
    <w:rsid w:val="00641A43"/>
    <w:rsid w:val="00643272"/>
    <w:rsid w:val="006533AE"/>
    <w:rsid w:val="0066105B"/>
    <w:rsid w:val="006817E9"/>
    <w:rsid w:val="00682868"/>
    <w:rsid w:val="00686707"/>
    <w:rsid w:val="00690446"/>
    <w:rsid w:val="006A3D50"/>
    <w:rsid w:val="006A68C7"/>
    <w:rsid w:val="006B557F"/>
    <w:rsid w:val="006B5950"/>
    <w:rsid w:val="006C3328"/>
    <w:rsid w:val="006D6523"/>
    <w:rsid w:val="006D6866"/>
    <w:rsid w:val="006D6A28"/>
    <w:rsid w:val="006E0AF8"/>
    <w:rsid w:val="006E41E9"/>
    <w:rsid w:val="00700F71"/>
    <w:rsid w:val="00703A46"/>
    <w:rsid w:val="00703A7E"/>
    <w:rsid w:val="00703F57"/>
    <w:rsid w:val="00704B91"/>
    <w:rsid w:val="00714325"/>
    <w:rsid w:val="00714A51"/>
    <w:rsid w:val="00721528"/>
    <w:rsid w:val="00721E93"/>
    <w:rsid w:val="007224B6"/>
    <w:rsid w:val="007229B2"/>
    <w:rsid w:val="00724B7F"/>
    <w:rsid w:val="00727B06"/>
    <w:rsid w:val="00737057"/>
    <w:rsid w:val="0075447C"/>
    <w:rsid w:val="007577F4"/>
    <w:rsid w:val="007613C3"/>
    <w:rsid w:val="007620E6"/>
    <w:rsid w:val="007633D0"/>
    <w:rsid w:val="00767BAA"/>
    <w:rsid w:val="00784EB6"/>
    <w:rsid w:val="00797E26"/>
    <w:rsid w:val="007A083D"/>
    <w:rsid w:val="007A7B2B"/>
    <w:rsid w:val="007B2E94"/>
    <w:rsid w:val="007C5408"/>
    <w:rsid w:val="007D01E2"/>
    <w:rsid w:val="007D39D6"/>
    <w:rsid w:val="007E04CD"/>
    <w:rsid w:val="007E5063"/>
    <w:rsid w:val="007E68EF"/>
    <w:rsid w:val="007E6EC1"/>
    <w:rsid w:val="00805C2D"/>
    <w:rsid w:val="00807405"/>
    <w:rsid w:val="00810C07"/>
    <w:rsid w:val="008110F4"/>
    <w:rsid w:val="00821B54"/>
    <w:rsid w:val="008232BA"/>
    <w:rsid w:val="008344DC"/>
    <w:rsid w:val="0083623C"/>
    <w:rsid w:val="00840ACF"/>
    <w:rsid w:val="0084166C"/>
    <w:rsid w:val="0084744E"/>
    <w:rsid w:val="00852595"/>
    <w:rsid w:val="00873192"/>
    <w:rsid w:val="008825A8"/>
    <w:rsid w:val="008A2CDC"/>
    <w:rsid w:val="008A5C29"/>
    <w:rsid w:val="008B1E20"/>
    <w:rsid w:val="008B6069"/>
    <w:rsid w:val="008C44F7"/>
    <w:rsid w:val="008C56DC"/>
    <w:rsid w:val="008D0862"/>
    <w:rsid w:val="008D34C0"/>
    <w:rsid w:val="008E2BBD"/>
    <w:rsid w:val="008E74C0"/>
    <w:rsid w:val="008F1505"/>
    <w:rsid w:val="008F4195"/>
    <w:rsid w:val="00904324"/>
    <w:rsid w:val="00904867"/>
    <w:rsid w:val="00913D53"/>
    <w:rsid w:val="0091423B"/>
    <w:rsid w:val="00914D5F"/>
    <w:rsid w:val="009173EE"/>
    <w:rsid w:val="00917954"/>
    <w:rsid w:val="00923009"/>
    <w:rsid w:val="00926115"/>
    <w:rsid w:val="00934848"/>
    <w:rsid w:val="00934973"/>
    <w:rsid w:val="009476BD"/>
    <w:rsid w:val="009536A3"/>
    <w:rsid w:val="0096273B"/>
    <w:rsid w:val="0096308F"/>
    <w:rsid w:val="00966951"/>
    <w:rsid w:val="0097144F"/>
    <w:rsid w:val="00971661"/>
    <w:rsid w:val="009753AC"/>
    <w:rsid w:val="00980883"/>
    <w:rsid w:val="009A1DF8"/>
    <w:rsid w:val="009A38B0"/>
    <w:rsid w:val="009B6659"/>
    <w:rsid w:val="009B6DFA"/>
    <w:rsid w:val="009C77F5"/>
    <w:rsid w:val="009D0620"/>
    <w:rsid w:val="009D1CB5"/>
    <w:rsid w:val="009E06F1"/>
    <w:rsid w:val="009E1743"/>
    <w:rsid w:val="009E22D1"/>
    <w:rsid w:val="009E5C01"/>
    <w:rsid w:val="00A041BB"/>
    <w:rsid w:val="00A04940"/>
    <w:rsid w:val="00A15688"/>
    <w:rsid w:val="00A171BA"/>
    <w:rsid w:val="00A178D7"/>
    <w:rsid w:val="00A30EFA"/>
    <w:rsid w:val="00A36949"/>
    <w:rsid w:val="00A42FD3"/>
    <w:rsid w:val="00A50EA4"/>
    <w:rsid w:val="00A5179D"/>
    <w:rsid w:val="00A5429A"/>
    <w:rsid w:val="00A62CB8"/>
    <w:rsid w:val="00A7012B"/>
    <w:rsid w:val="00A77139"/>
    <w:rsid w:val="00A86B10"/>
    <w:rsid w:val="00A8720F"/>
    <w:rsid w:val="00A87344"/>
    <w:rsid w:val="00A900D3"/>
    <w:rsid w:val="00A94EAF"/>
    <w:rsid w:val="00A963BB"/>
    <w:rsid w:val="00AA1505"/>
    <w:rsid w:val="00AA6561"/>
    <w:rsid w:val="00AB0DBF"/>
    <w:rsid w:val="00AC26B7"/>
    <w:rsid w:val="00AC5C48"/>
    <w:rsid w:val="00AC7020"/>
    <w:rsid w:val="00AC786C"/>
    <w:rsid w:val="00AD0514"/>
    <w:rsid w:val="00AD6BEB"/>
    <w:rsid w:val="00AD7481"/>
    <w:rsid w:val="00AD78FD"/>
    <w:rsid w:val="00AD7DDC"/>
    <w:rsid w:val="00AE2B5A"/>
    <w:rsid w:val="00AE440B"/>
    <w:rsid w:val="00AF4B62"/>
    <w:rsid w:val="00B000EE"/>
    <w:rsid w:val="00B01579"/>
    <w:rsid w:val="00B17172"/>
    <w:rsid w:val="00B2131E"/>
    <w:rsid w:val="00B2373C"/>
    <w:rsid w:val="00B360B9"/>
    <w:rsid w:val="00B43118"/>
    <w:rsid w:val="00B50439"/>
    <w:rsid w:val="00B579D9"/>
    <w:rsid w:val="00B57D19"/>
    <w:rsid w:val="00B644EF"/>
    <w:rsid w:val="00B71A03"/>
    <w:rsid w:val="00B75C80"/>
    <w:rsid w:val="00B761D3"/>
    <w:rsid w:val="00B80AD1"/>
    <w:rsid w:val="00B82E09"/>
    <w:rsid w:val="00B940E8"/>
    <w:rsid w:val="00BA0884"/>
    <w:rsid w:val="00BA4556"/>
    <w:rsid w:val="00BA6570"/>
    <w:rsid w:val="00BD2A83"/>
    <w:rsid w:val="00BE0FF7"/>
    <w:rsid w:val="00BE4E25"/>
    <w:rsid w:val="00BE50F5"/>
    <w:rsid w:val="00C002B8"/>
    <w:rsid w:val="00C31E77"/>
    <w:rsid w:val="00C3673D"/>
    <w:rsid w:val="00C523F0"/>
    <w:rsid w:val="00C5304D"/>
    <w:rsid w:val="00C5668C"/>
    <w:rsid w:val="00C57EE7"/>
    <w:rsid w:val="00C61186"/>
    <w:rsid w:val="00C62B98"/>
    <w:rsid w:val="00C63C33"/>
    <w:rsid w:val="00C711D3"/>
    <w:rsid w:val="00C72F85"/>
    <w:rsid w:val="00C76D50"/>
    <w:rsid w:val="00C829B2"/>
    <w:rsid w:val="00C868E0"/>
    <w:rsid w:val="00C91B24"/>
    <w:rsid w:val="00C949A3"/>
    <w:rsid w:val="00CB6BFB"/>
    <w:rsid w:val="00CD2439"/>
    <w:rsid w:val="00CD6290"/>
    <w:rsid w:val="00CF088D"/>
    <w:rsid w:val="00D0120A"/>
    <w:rsid w:val="00D14EE2"/>
    <w:rsid w:val="00D2016F"/>
    <w:rsid w:val="00D203C1"/>
    <w:rsid w:val="00D20C73"/>
    <w:rsid w:val="00D24E7C"/>
    <w:rsid w:val="00D2566D"/>
    <w:rsid w:val="00D32900"/>
    <w:rsid w:val="00D4259A"/>
    <w:rsid w:val="00D46517"/>
    <w:rsid w:val="00D47281"/>
    <w:rsid w:val="00D62CFD"/>
    <w:rsid w:val="00D74A82"/>
    <w:rsid w:val="00D82952"/>
    <w:rsid w:val="00D976CC"/>
    <w:rsid w:val="00DA1786"/>
    <w:rsid w:val="00DA1B30"/>
    <w:rsid w:val="00DA1EE5"/>
    <w:rsid w:val="00DA7D74"/>
    <w:rsid w:val="00DB348D"/>
    <w:rsid w:val="00DB5931"/>
    <w:rsid w:val="00DC0224"/>
    <w:rsid w:val="00DC5378"/>
    <w:rsid w:val="00DC64C6"/>
    <w:rsid w:val="00DC68BF"/>
    <w:rsid w:val="00DC6966"/>
    <w:rsid w:val="00DD15B7"/>
    <w:rsid w:val="00DE0A3F"/>
    <w:rsid w:val="00E001DA"/>
    <w:rsid w:val="00E037BD"/>
    <w:rsid w:val="00E0567D"/>
    <w:rsid w:val="00E26F9F"/>
    <w:rsid w:val="00E51985"/>
    <w:rsid w:val="00E550E9"/>
    <w:rsid w:val="00E62728"/>
    <w:rsid w:val="00E63CC9"/>
    <w:rsid w:val="00E67B2F"/>
    <w:rsid w:val="00E733F4"/>
    <w:rsid w:val="00E75FBD"/>
    <w:rsid w:val="00E83689"/>
    <w:rsid w:val="00E91913"/>
    <w:rsid w:val="00E9344F"/>
    <w:rsid w:val="00E969DD"/>
    <w:rsid w:val="00E973D9"/>
    <w:rsid w:val="00EA7932"/>
    <w:rsid w:val="00EB2142"/>
    <w:rsid w:val="00EB26A3"/>
    <w:rsid w:val="00EC20D9"/>
    <w:rsid w:val="00EC3B28"/>
    <w:rsid w:val="00EC3D25"/>
    <w:rsid w:val="00ED178B"/>
    <w:rsid w:val="00ED3CA2"/>
    <w:rsid w:val="00ED5A22"/>
    <w:rsid w:val="00EE48A2"/>
    <w:rsid w:val="00F06470"/>
    <w:rsid w:val="00F17930"/>
    <w:rsid w:val="00F31394"/>
    <w:rsid w:val="00F349FC"/>
    <w:rsid w:val="00F40362"/>
    <w:rsid w:val="00F42896"/>
    <w:rsid w:val="00F54705"/>
    <w:rsid w:val="00F60A32"/>
    <w:rsid w:val="00F62F71"/>
    <w:rsid w:val="00F63FC2"/>
    <w:rsid w:val="00F67FEE"/>
    <w:rsid w:val="00F73514"/>
    <w:rsid w:val="00F82663"/>
    <w:rsid w:val="00F9174F"/>
    <w:rsid w:val="00F91820"/>
    <w:rsid w:val="00F9328B"/>
    <w:rsid w:val="00FA2A61"/>
    <w:rsid w:val="00FA57CA"/>
    <w:rsid w:val="00FB0E0D"/>
    <w:rsid w:val="00FB1D46"/>
    <w:rsid w:val="00FB207E"/>
    <w:rsid w:val="00FB4D9D"/>
    <w:rsid w:val="00FD05D3"/>
    <w:rsid w:val="00FD2177"/>
    <w:rsid w:val="00FE19E2"/>
    <w:rsid w:val="00FE330E"/>
    <w:rsid w:val="00FE4BD8"/>
    <w:rsid w:val="00FE71AC"/>
    <w:rsid w:val="00FF04F0"/>
    <w:rsid w:val="00FF7A8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25D4D"/>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325D4D"/>
    <w:pPr>
      <w:tabs>
        <w:tab w:val="center" w:pos="4536"/>
        <w:tab w:val="right" w:pos="9072"/>
      </w:tabs>
    </w:pPr>
  </w:style>
  <w:style w:type="character" w:customStyle="1" w:styleId="StopkaZnak">
    <w:name w:val="Stopka Znak"/>
    <w:basedOn w:val="Domylnaczcionkaakapitu"/>
    <w:link w:val="Stopka"/>
    <w:rsid w:val="00325D4D"/>
    <w:rPr>
      <w:rFonts w:ascii="Times New Roman" w:eastAsia="Times New Roman" w:hAnsi="Times New Roman" w:cs="Times New Roman"/>
      <w:sz w:val="24"/>
      <w:szCs w:val="24"/>
      <w:lang w:eastAsia="pl-PL"/>
    </w:rPr>
  </w:style>
  <w:style w:type="character" w:styleId="Numerstrony">
    <w:name w:val="page number"/>
    <w:basedOn w:val="Domylnaczcionkaakapitu"/>
    <w:rsid w:val="00325D4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709</Words>
  <Characters>4254</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Rusnak</dc:creator>
  <cp:keywords/>
  <dc:description/>
  <cp:lastModifiedBy>Małgorzata Rusnak</cp:lastModifiedBy>
  <cp:revision>3</cp:revision>
  <dcterms:created xsi:type="dcterms:W3CDTF">2011-11-17T12:30:00Z</dcterms:created>
  <dcterms:modified xsi:type="dcterms:W3CDTF">2011-11-17T13:43:00Z</dcterms:modified>
</cp:coreProperties>
</file>